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14:paraId="7501EBF2" w14:textId="77777777" w:rsidTr="00063F02">
        <w:tc>
          <w:tcPr>
            <w:tcW w:w="10207" w:type="dxa"/>
            <w:gridSpan w:val="2"/>
          </w:tcPr>
          <w:p w14:paraId="39510A38" w14:textId="017B6D53"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B75E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- 24</w:t>
            </w:r>
          </w:p>
        </w:tc>
      </w:tr>
      <w:tr w:rsidR="00F227FA" w:rsidRPr="00F227FA" w14:paraId="16E8643A" w14:textId="77777777" w:rsidTr="00063F02">
        <w:tc>
          <w:tcPr>
            <w:tcW w:w="4503" w:type="dxa"/>
          </w:tcPr>
          <w:p w14:paraId="65C58871" w14:textId="77777777"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14:paraId="661035AF" w14:textId="77777777" w:rsidR="00F227FA" w:rsidRPr="00347284" w:rsidRDefault="00F22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7FA" w:rsidRPr="00B867AD" w14:paraId="49B05D08" w14:textId="77777777" w:rsidTr="00063F02">
        <w:tc>
          <w:tcPr>
            <w:tcW w:w="10207" w:type="dxa"/>
            <w:gridSpan w:val="2"/>
          </w:tcPr>
          <w:p w14:paraId="6C59BCE4" w14:textId="77777777" w:rsidR="00F227FA" w:rsidRPr="00347284" w:rsidRDefault="00576D06" w:rsidP="009129BD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47284">
              <w:rPr>
                <w:rFonts w:ascii="Arial" w:hAnsi="Arial" w:cs="Arial"/>
                <w:b/>
                <w:caps/>
                <w:sz w:val="28"/>
                <w:szCs w:val="28"/>
              </w:rPr>
              <w:t>Obblighi di vigilanza</w:t>
            </w:r>
            <w:r w:rsidR="00817963" w:rsidRPr="00347284"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  <w:t>*</w:t>
            </w:r>
          </w:p>
        </w:tc>
      </w:tr>
      <w:tr w:rsidR="00F227FA" w:rsidRPr="00F227FA" w14:paraId="26C51866" w14:textId="77777777" w:rsidTr="00063F02">
        <w:tc>
          <w:tcPr>
            <w:tcW w:w="4503" w:type="dxa"/>
          </w:tcPr>
          <w:p w14:paraId="0DEDCC75" w14:textId="77777777"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14:paraId="76C96218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14:paraId="79FA36BE" w14:textId="77777777" w:rsidTr="00063F02">
        <w:tc>
          <w:tcPr>
            <w:tcW w:w="10207" w:type="dxa"/>
            <w:gridSpan w:val="2"/>
          </w:tcPr>
          <w:p w14:paraId="0EE30818" w14:textId="77777777" w:rsidR="00F227FA" w:rsidRDefault="00181975" w:rsidP="00776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scheda indica </w:t>
            </w:r>
            <w:r w:rsidR="007765A8">
              <w:rPr>
                <w:rFonts w:ascii="Arial" w:hAnsi="Arial" w:cs="Arial"/>
              </w:rPr>
              <w:t>quali siano gli obblighi di vigilanza del titolare dell’insegnamento, del RADRL o del Preposto durante lo svolgimento di attività, siano esse di Laboratorio o meno.</w:t>
            </w:r>
          </w:p>
          <w:p w14:paraId="7245C742" w14:textId="77777777" w:rsidR="00E94895" w:rsidRPr="00F227FA" w:rsidRDefault="00E94895" w:rsidP="007765A8">
            <w:pPr>
              <w:rPr>
                <w:rFonts w:ascii="Arial" w:hAnsi="Arial" w:cs="Arial"/>
              </w:rPr>
            </w:pPr>
          </w:p>
        </w:tc>
      </w:tr>
      <w:tr w:rsidR="00F227FA" w:rsidRPr="00F227FA" w14:paraId="04F49BDA" w14:textId="77777777" w:rsidTr="00063F02">
        <w:tc>
          <w:tcPr>
            <w:tcW w:w="4503" w:type="dxa"/>
          </w:tcPr>
          <w:p w14:paraId="0F131C53" w14:textId="77777777"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14:paraId="6B325505" w14:textId="77777777"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4519BC" w:rsidRPr="00F227FA" w14:paraId="78DA7E7C" w14:textId="77777777" w:rsidTr="00063F02">
        <w:tc>
          <w:tcPr>
            <w:tcW w:w="4503" w:type="dxa"/>
          </w:tcPr>
          <w:p w14:paraId="370BB790" w14:textId="77777777" w:rsidR="004519BC" w:rsidRPr="00F227FA" w:rsidRDefault="007B2996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Titolare dell’insegnamento</w:t>
            </w:r>
          </w:p>
        </w:tc>
        <w:tc>
          <w:tcPr>
            <w:tcW w:w="5704" w:type="dxa"/>
          </w:tcPr>
          <w:p w14:paraId="578DE016" w14:textId="77777777"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4519BC" w:rsidRPr="00F227FA" w14:paraId="72588CF6" w14:textId="77777777" w:rsidTr="00063F02">
        <w:tc>
          <w:tcPr>
            <w:tcW w:w="4503" w:type="dxa"/>
          </w:tcPr>
          <w:p w14:paraId="71335AB9" w14:textId="77777777" w:rsidR="007B2996" w:rsidRDefault="007765A8" w:rsidP="0071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 - preposto</w:t>
            </w:r>
          </w:p>
        </w:tc>
        <w:tc>
          <w:tcPr>
            <w:tcW w:w="5704" w:type="dxa"/>
          </w:tcPr>
          <w:p w14:paraId="5A2C58D3" w14:textId="77777777" w:rsidR="004519BC" w:rsidRPr="00F227FA" w:rsidRDefault="004519BC">
            <w:pPr>
              <w:rPr>
                <w:rFonts w:ascii="Arial" w:hAnsi="Arial" w:cs="Arial"/>
              </w:rPr>
            </w:pPr>
          </w:p>
        </w:tc>
      </w:tr>
      <w:tr w:rsidR="0036606A" w:rsidRPr="00F227FA" w14:paraId="2EF0AADB" w14:textId="77777777" w:rsidTr="00063F02">
        <w:tc>
          <w:tcPr>
            <w:tcW w:w="4503" w:type="dxa"/>
          </w:tcPr>
          <w:p w14:paraId="4A24B24D" w14:textId="77777777" w:rsidR="0036606A" w:rsidRDefault="007765A8" w:rsidP="00776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Accompagnatore</w:t>
            </w:r>
          </w:p>
        </w:tc>
        <w:tc>
          <w:tcPr>
            <w:tcW w:w="5704" w:type="dxa"/>
          </w:tcPr>
          <w:p w14:paraId="7CD91467" w14:textId="77777777"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14:paraId="27EE21C4" w14:textId="77777777" w:rsidTr="00063F02">
        <w:tc>
          <w:tcPr>
            <w:tcW w:w="4503" w:type="dxa"/>
          </w:tcPr>
          <w:p w14:paraId="61D75BB6" w14:textId="77777777" w:rsidR="0036606A" w:rsidRDefault="0036606A" w:rsidP="007150FB">
            <w:pPr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14:paraId="1DE65240" w14:textId="77777777"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14:paraId="29317697" w14:textId="77777777" w:rsidTr="00063F02">
        <w:tc>
          <w:tcPr>
            <w:tcW w:w="4503" w:type="dxa"/>
          </w:tcPr>
          <w:p w14:paraId="75921EBD" w14:textId="77777777" w:rsidR="0036606A" w:rsidRDefault="0036606A">
            <w:pPr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14:paraId="01B21DE4" w14:textId="77777777"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14:paraId="2E6591C9" w14:textId="77777777" w:rsidTr="00063F02">
        <w:tc>
          <w:tcPr>
            <w:tcW w:w="4503" w:type="dxa"/>
          </w:tcPr>
          <w:p w14:paraId="699F52A0" w14:textId="77777777" w:rsidR="0036606A" w:rsidRPr="00063F02" w:rsidRDefault="00366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14:paraId="2031B7D1" w14:textId="77777777" w:rsidR="0036606A" w:rsidRPr="00F227FA" w:rsidRDefault="00776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6606A" w:rsidRPr="00F227FA" w14:paraId="5276511D" w14:textId="77777777" w:rsidTr="00063F02">
        <w:tc>
          <w:tcPr>
            <w:tcW w:w="10207" w:type="dxa"/>
            <w:gridSpan w:val="2"/>
          </w:tcPr>
          <w:p w14:paraId="0996A317" w14:textId="77777777" w:rsidR="00817963" w:rsidRPr="00817963" w:rsidRDefault="00817963" w:rsidP="00817963">
            <w:pPr>
              <w:pStyle w:val="Paragrafoelenco"/>
              <w:ind w:hanging="686"/>
              <w:rPr>
                <w:rFonts w:ascii="Arial" w:hAnsi="Arial" w:cs="Arial"/>
                <w:color w:val="FF0000"/>
              </w:rPr>
            </w:pPr>
            <w:r w:rsidRPr="00817963">
              <w:rPr>
                <w:rFonts w:ascii="Arial" w:hAnsi="Arial" w:cs="Arial"/>
                <w:color w:val="FF0000"/>
              </w:rPr>
              <w:t>COME DISTINGUERE ATTIVITÀ DI LABORATORIO E NON DI LABORATORIO</w:t>
            </w:r>
          </w:p>
          <w:p w14:paraId="72FB5F60" w14:textId="37E2B36F" w:rsidR="007765A8" w:rsidRDefault="007765A8" w:rsidP="007765A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si configura quale attività di laboratorio un’attività, durante la quale si faccia uso unicamente di apparecchiature di utilizzo comune (macchina fotografica, telefono, matita, blocco da disegno registratore</w:t>
            </w:r>
            <w:r w:rsidR="00903644">
              <w:rPr>
                <w:rFonts w:ascii="Arial" w:hAnsi="Arial" w:cs="Arial"/>
              </w:rPr>
              <w:t>, personal computer</w:t>
            </w:r>
            <w:r>
              <w:rPr>
                <w:rFonts w:ascii="Arial" w:hAnsi="Arial" w:cs="Arial"/>
              </w:rPr>
              <w:t xml:space="preserve"> ecc.) e non vi sia un esposizione professionale ad altri agenti di rischio.</w:t>
            </w:r>
            <w:r>
              <w:rPr>
                <w:rFonts w:ascii="Arial" w:hAnsi="Arial" w:cs="Arial"/>
              </w:rPr>
              <w:br/>
            </w:r>
          </w:p>
          <w:p w14:paraId="3086E4A8" w14:textId="77777777" w:rsidR="00F93995" w:rsidRPr="00817963" w:rsidRDefault="00817963" w:rsidP="007765A8">
            <w:pPr>
              <w:rPr>
                <w:rFonts w:ascii="Arial" w:hAnsi="Arial" w:cs="Arial"/>
                <w:color w:val="FF0000"/>
              </w:rPr>
            </w:pPr>
            <w:r w:rsidRPr="00817963">
              <w:rPr>
                <w:rFonts w:ascii="Arial" w:hAnsi="Arial" w:cs="Arial"/>
                <w:color w:val="FF0000"/>
              </w:rPr>
              <w:t xml:space="preserve">OBBLIGHI PER </w:t>
            </w:r>
            <w:r w:rsidR="007765A8" w:rsidRPr="00817963">
              <w:rPr>
                <w:rFonts w:ascii="Arial" w:hAnsi="Arial" w:cs="Arial"/>
                <w:color w:val="FF0000"/>
              </w:rPr>
              <w:t>ATTIVIT</w:t>
            </w:r>
            <w:r w:rsidR="00D126A7" w:rsidRPr="00817963">
              <w:rPr>
                <w:rFonts w:ascii="Arial" w:hAnsi="Arial" w:cs="Arial"/>
                <w:color w:val="FF0000"/>
              </w:rPr>
              <w:t>À</w:t>
            </w:r>
            <w:r>
              <w:rPr>
                <w:rFonts w:ascii="Arial" w:hAnsi="Arial" w:cs="Arial"/>
                <w:color w:val="FF0000"/>
              </w:rPr>
              <w:t xml:space="preserve"> NON DI LABORATORIO</w:t>
            </w:r>
          </w:p>
          <w:p w14:paraId="41FEC165" w14:textId="77777777" w:rsidR="007765A8" w:rsidRDefault="007765A8" w:rsidP="007765A8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titolare dell’insegnamento o il docente referente per l’attività, sia in caso di attività svolta in aula che durante gite, visite o altre attività ha obblighi di vigilanza per:</w:t>
            </w:r>
          </w:p>
          <w:p w14:paraId="33983504" w14:textId="77777777" w:rsidR="007765A8" w:rsidRDefault="007765A8" w:rsidP="007765A8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Comportamento coerente con quanto previsto in caso di emergenza.</w:t>
            </w:r>
          </w:p>
          <w:p w14:paraId="59C98BA6" w14:textId="77777777" w:rsidR="007765A8" w:rsidRPr="007765A8" w:rsidRDefault="007765A8" w:rsidP="007765A8">
            <w:pPr>
              <w:rPr>
                <w:rFonts w:ascii="Arial" w:hAnsi="Arial" w:cs="Arial"/>
              </w:rPr>
            </w:pPr>
          </w:p>
          <w:p w14:paraId="23FF4AD4" w14:textId="77777777" w:rsidR="007765A8" w:rsidRPr="00817963" w:rsidRDefault="00817963" w:rsidP="007765A8">
            <w:pPr>
              <w:rPr>
                <w:rFonts w:ascii="Arial" w:hAnsi="Arial" w:cs="Arial"/>
                <w:color w:val="FF0000"/>
              </w:rPr>
            </w:pPr>
            <w:r w:rsidRPr="00817963">
              <w:rPr>
                <w:rFonts w:ascii="Arial" w:hAnsi="Arial" w:cs="Arial"/>
                <w:color w:val="FF0000"/>
              </w:rPr>
              <w:t xml:space="preserve">OBBLIGI PER </w:t>
            </w:r>
            <w:r w:rsidR="00D126A7" w:rsidRPr="00817963">
              <w:rPr>
                <w:rFonts w:ascii="Arial" w:hAnsi="Arial" w:cs="Arial"/>
                <w:color w:val="FF0000"/>
              </w:rPr>
              <w:t>ATTIVITÀ</w:t>
            </w:r>
            <w:r w:rsidR="007765A8" w:rsidRPr="00817963">
              <w:rPr>
                <w:rFonts w:ascii="Arial" w:hAnsi="Arial" w:cs="Arial"/>
                <w:color w:val="FF0000"/>
              </w:rPr>
              <w:t xml:space="preserve"> DI LABORATORIO</w:t>
            </w:r>
          </w:p>
          <w:p w14:paraId="13E67398" w14:textId="77777777" w:rsidR="007765A8" w:rsidRPr="00817963" w:rsidRDefault="007765A8" w:rsidP="0081796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Il RADRL - Preposto, ha obblighi di vigilanza per:</w:t>
            </w:r>
          </w:p>
          <w:p w14:paraId="0AED5A20" w14:textId="77777777" w:rsidR="007765A8" w:rsidRPr="00817963" w:rsidRDefault="007765A8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Comportamento degli studenti conforme al vivere civile;</w:t>
            </w:r>
          </w:p>
          <w:p w14:paraId="4EA7312D" w14:textId="77777777" w:rsidR="007765A8" w:rsidRPr="00817963" w:rsidRDefault="007765A8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Comportamento conforme alle disposizioni fornite dagli ospitanti;</w:t>
            </w:r>
          </w:p>
          <w:p w14:paraId="7F1663FC" w14:textId="77777777" w:rsidR="007765A8" w:rsidRPr="00817963" w:rsidRDefault="007765A8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Rispetto delle misure di prevenzione Definite nel DVR e comunicate in fase di formazione Specifica;</w:t>
            </w:r>
          </w:p>
          <w:p w14:paraId="1906B62E" w14:textId="77777777" w:rsidR="007765A8" w:rsidRPr="00817963" w:rsidRDefault="007765A8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Uso corretto dei DPI se previsti;</w:t>
            </w:r>
          </w:p>
          <w:p w14:paraId="3187D176" w14:textId="77777777" w:rsidR="007765A8" w:rsidRPr="00817963" w:rsidRDefault="007765A8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Comportamento coerente con quanto previsto in caso di emergenza.</w:t>
            </w:r>
          </w:p>
          <w:p w14:paraId="427B7209" w14:textId="77777777" w:rsidR="003F2DB3" w:rsidRPr="00817963" w:rsidRDefault="00817963" w:rsidP="0081796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817963">
              <w:rPr>
                <w:rFonts w:ascii="Arial" w:hAnsi="Arial" w:cs="Arial"/>
                <w:color w:val="FF0000"/>
              </w:rPr>
              <w:t>I</w:t>
            </w:r>
            <w:r w:rsidR="007765A8" w:rsidRPr="00817963">
              <w:rPr>
                <w:rFonts w:ascii="Arial" w:hAnsi="Arial" w:cs="Arial"/>
                <w:color w:val="FF0000"/>
              </w:rPr>
              <w:t>l RADRL – Preposto</w:t>
            </w:r>
            <w:r w:rsidRPr="00817963">
              <w:rPr>
                <w:rFonts w:ascii="Arial" w:hAnsi="Arial" w:cs="Arial"/>
                <w:color w:val="FF0000"/>
              </w:rPr>
              <w:t>,</w:t>
            </w:r>
            <w:r w:rsidR="007765A8" w:rsidRPr="00817963">
              <w:rPr>
                <w:rFonts w:ascii="Arial" w:hAnsi="Arial" w:cs="Arial"/>
                <w:color w:val="FF0000"/>
              </w:rPr>
              <w:t xml:space="preserve"> </w:t>
            </w:r>
            <w:r w:rsidR="003F2DB3" w:rsidRPr="00817963">
              <w:rPr>
                <w:rFonts w:ascii="Arial" w:hAnsi="Arial" w:cs="Arial"/>
                <w:color w:val="FF0000"/>
              </w:rPr>
              <w:t>verific</w:t>
            </w:r>
            <w:r w:rsidRPr="00817963">
              <w:rPr>
                <w:rFonts w:ascii="Arial" w:hAnsi="Arial" w:cs="Arial"/>
                <w:color w:val="FF0000"/>
              </w:rPr>
              <w:t>ato</w:t>
            </w:r>
            <w:r w:rsidR="003F2DB3" w:rsidRPr="00817963">
              <w:rPr>
                <w:rFonts w:ascii="Arial" w:hAnsi="Arial" w:cs="Arial"/>
                <w:color w:val="FF0000"/>
              </w:rPr>
              <w:t xml:space="preserve"> il mancato rispetto delle misure di sicurezza in essere, deve:</w:t>
            </w:r>
          </w:p>
          <w:p w14:paraId="14D298C4" w14:textId="77777777" w:rsidR="003F2DB3" w:rsidRPr="00817963" w:rsidRDefault="003F2DB3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provvedere ad interrompere tempestivamente l’attività;</w:t>
            </w:r>
          </w:p>
          <w:p w14:paraId="6E3B5458" w14:textId="77777777" w:rsidR="003F2DB3" w:rsidRPr="00817963" w:rsidRDefault="003F2DB3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allontanare lo studente o le altre persone coinvolte;</w:t>
            </w:r>
          </w:p>
          <w:p w14:paraId="751F9632" w14:textId="77777777" w:rsidR="007765A8" w:rsidRPr="00817963" w:rsidRDefault="003F2DB3" w:rsidP="00817963">
            <w:pPr>
              <w:pStyle w:val="Paragrafoelenco"/>
              <w:numPr>
                <w:ilvl w:val="2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darne comunicazione appena possibile al Referente per la sicurezza locale (RG per strutture di Ateneo).</w:t>
            </w:r>
          </w:p>
          <w:p w14:paraId="57D20176" w14:textId="65639570" w:rsidR="007765A8" w:rsidRPr="00817963" w:rsidRDefault="007765A8" w:rsidP="0081796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7963">
              <w:rPr>
                <w:rFonts w:ascii="Arial" w:hAnsi="Arial" w:cs="Arial"/>
              </w:rPr>
              <w:t>L’Attività d</w:t>
            </w:r>
            <w:r w:rsidR="0032372D">
              <w:rPr>
                <w:rFonts w:ascii="Arial" w:hAnsi="Arial" w:cs="Arial"/>
              </w:rPr>
              <w:t>i vigilanza può essere delegata</w:t>
            </w:r>
            <w:r w:rsidRPr="00817963">
              <w:rPr>
                <w:rFonts w:ascii="Arial" w:hAnsi="Arial" w:cs="Arial"/>
              </w:rPr>
              <w:t xml:space="preserve">, ma la responsabilità rimane in capo al </w:t>
            </w:r>
            <w:r w:rsidR="003F2DB3" w:rsidRPr="00817963">
              <w:rPr>
                <w:rFonts w:ascii="Arial" w:hAnsi="Arial" w:cs="Arial"/>
              </w:rPr>
              <w:t>RADRL - Preposto</w:t>
            </w:r>
            <w:r w:rsidRPr="00817963">
              <w:rPr>
                <w:rFonts w:ascii="Arial" w:hAnsi="Arial" w:cs="Arial"/>
              </w:rPr>
              <w:t>.</w:t>
            </w:r>
          </w:p>
          <w:p w14:paraId="2E8EEB1A" w14:textId="77777777" w:rsidR="007765A8" w:rsidRPr="007765A8" w:rsidRDefault="007765A8" w:rsidP="007765A8">
            <w:pPr>
              <w:rPr>
                <w:rFonts w:ascii="Arial" w:hAnsi="Arial" w:cs="Arial"/>
              </w:rPr>
            </w:pPr>
          </w:p>
          <w:p w14:paraId="3BDE191D" w14:textId="77777777" w:rsidR="007765A8" w:rsidRPr="007765A8" w:rsidRDefault="007765A8" w:rsidP="007765A8">
            <w:pPr>
              <w:rPr>
                <w:rFonts w:ascii="Arial" w:hAnsi="Arial" w:cs="Arial"/>
              </w:rPr>
            </w:pPr>
          </w:p>
        </w:tc>
      </w:tr>
      <w:tr w:rsidR="0036606A" w:rsidRPr="00F227FA" w14:paraId="5B205AD5" w14:textId="77777777" w:rsidTr="00063F02">
        <w:tc>
          <w:tcPr>
            <w:tcW w:w="4503" w:type="dxa"/>
          </w:tcPr>
          <w:p w14:paraId="2012AEBD" w14:textId="77777777" w:rsidR="0036606A" w:rsidRPr="00063F02" w:rsidRDefault="00366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14:paraId="07C63D0A" w14:textId="77777777"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:rsidRPr="00F227FA" w14:paraId="387482B8" w14:textId="77777777" w:rsidTr="00063F02">
        <w:tc>
          <w:tcPr>
            <w:tcW w:w="10207" w:type="dxa"/>
            <w:gridSpan w:val="2"/>
          </w:tcPr>
          <w:p w14:paraId="0349920C" w14:textId="77777777" w:rsidR="0036606A" w:rsidRPr="00063F02" w:rsidRDefault="00366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6A" w:rsidRPr="00F227FA" w14:paraId="69A5D1D0" w14:textId="77777777" w:rsidTr="00063F02">
        <w:tc>
          <w:tcPr>
            <w:tcW w:w="4503" w:type="dxa"/>
          </w:tcPr>
          <w:p w14:paraId="68C794B3" w14:textId="0A96F5F1" w:rsidR="0036606A" w:rsidRPr="00063F02" w:rsidRDefault="0091078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NOTE</w:t>
            </w:r>
          </w:p>
        </w:tc>
        <w:tc>
          <w:tcPr>
            <w:tcW w:w="5704" w:type="dxa"/>
          </w:tcPr>
          <w:p w14:paraId="4BA08F49" w14:textId="77777777" w:rsidR="0036606A" w:rsidRPr="00063F02" w:rsidRDefault="00366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6A" w:rsidRPr="00F227FA" w14:paraId="18CA3066" w14:textId="77777777" w:rsidTr="00063F02">
        <w:tc>
          <w:tcPr>
            <w:tcW w:w="10207" w:type="dxa"/>
            <w:gridSpan w:val="2"/>
          </w:tcPr>
          <w:p w14:paraId="28712CA3" w14:textId="77777777" w:rsidR="0036606A" w:rsidRPr="00F227FA" w:rsidRDefault="0036606A">
            <w:pPr>
              <w:rPr>
                <w:rFonts w:ascii="Arial" w:hAnsi="Arial" w:cs="Arial"/>
              </w:rPr>
            </w:pPr>
          </w:p>
        </w:tc>
      </w:tr>
      <w:tr w:rsidR="0036606A" w14:paraId="2B198A18" w14:textId="77777777" w:rsidTr="00B647E6">
        <w:tc>
          <w:tcPr>
            <w:tcW w:w="10207" w:type="dxa"/>
            <w:gridSpan w:val="2"/>
          </w:tcPr>
          <w:p w14:paraId="1FAF81F6" w14:textId="77777777" w:rsidR="0036606A" w:rsidRPr="00817963" w:rsidRDefault="00817963">
            <w:pPr>
              <w:rPr>
                <w:color w:val="FF0000"/>
              </w:rPr>
            </w:pPr>
            <w:r w:rsidRPr="00817963">
              <w:rPr>
                <w:color w:val="FF0000"/>
              </w:rPr>
              <w:t>* da considerare come allegato delle schede in cui siano enunciate le casistiche LABORATORIO e NON LABORATORIO</w:t>
            </w:r>
          </w:p>
        </w:tc>
      </w:tr>
    </w:tbl>
    <w:p w14:paraId="0DD37863" w14:textId="77777777" w:rsidR="00445872" w:rsidRDefault="00445872"/>
    <w:sectPr w:rsidR="00445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8C7"/>
    <w:multiLevelType w:val="hybridMultilevel"/>
    <w:tmpl w:val="CA303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557"/>
    <w:multiLevelType w:val="hybridMultilevel"/>
    <w:tmpl w:val="A7E80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6A4B"/>
    <w:multiLevelType w:val="hybridMultilevel"/>
    <w:tmpl w:val="2CEA5D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557E"/>
    <w:multiLevelType w:val="hybridMultilevel"/>
    <w:tmpl w:val="36E2F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24F8"/>
    <w:multiLevelType w:val="hybridMultilevel"/>
    <w:tmpl w:val="1AEE6C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923"/>
    <w:multiLevelType w:val="hybridMultilevel"/>
    <w:tmpl w:val="4112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25E"/>
    <w:multiLevelType w:val="hybridMultilevel"/>
    <w:tmpl w:val="B6E0668C"/>
    <w:lvl w:ilvl="0" w:tplc="B02E41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520C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6DC"/>
    <w:rsid w:val="000C4923"/>
    <w:rsid w:val="000C498B"/>
    <w:rsid w:val="000D0D79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30533"/>
    <w:rsid w:val="00130F90"/>
    <w:rsid w:val="00137C42"/>
    <w:rsid w:val="0014078C"/>
    <w:rsid w:val="001407ED"/>
    <w:rsid w:val="00140F03"/>
    <w:rsid w:val="00142073"/>
    <w:rsid w:val="00150B99"/>
    <w:rsid w:val="00154451"/>
    <w:rsid w:val="0015643E"/>
    <w:rsid w:val="00160481"/>
    <w:rsid w:val="00165498"/>
    <w:rsid w:val="00173D56"/>
    <w:rsid w:val="00174518"/>
    <w:rsid w:val="00175DE5"/>
    <w:rsid w:val="00177372"/>
    <w:rsid w:val="00180CED"/>
    <w:rsid w:val="00181975"/>
    <w:rsid w:val="00184CAE"/>
    <w:rsid w:val="00186CEC"/>
    <w:rsid w:val="00186D1E"/>
    <w:rsid w:val="00190972"/>
    <w:rsid w:val="00191C67"/>
    <w:rsid w:val="00193D06"/>
    <w:rsid w:val="00196FB5"/>
    <w:rsid w:val="001A355D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17D85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35D"/>
    <w:rsid w:val="00295AB1"/>
    <w:rsid w:val="002969F1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E4C8B"/>
    <w:rsid w:val="002E7F77"/>
    <w:rsid w:val="002F2C7B"/>
    <w:rsid w:val="002F4876"/>
    <w:rsid w:val="00302991"/>
    <w:rsid w:val="00303C3C"/>
    <w:rsid w:val="00304479"/>
    <w:rsid w:val="00305902"/>
    <w:rsid w:val="00307786"/>
    <w:rsid w:val="0032372D"/>
    <w:rsid w:val="00325B48"/>
    <w:rsid w:val="00331CCD"/>
    <w:rsid w:val="0033384E"/>
    <w:rsid w:val="003361BF"/>
    <w:rsid w:val="00341409"/>
    <w:rsid w:val="00341678"/>
    <w:rsid w:val="0034455C"/>
    <w:rsid w:val="00347284"/>
    <w:rsid w:val="00347979"/>
    <w:rsid w:val="0035509E"/>
    <w:rsid w:val="00356348"/>
    <w:rsid w:val="00360B49"/>
    <w:rsid w:val="0036160D"/>
    <w:rsid w:val="0036543F"/>
    <w:rsid w:val="0036606A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3F2DB3"/>
    <w:rsid w:val="003F76C5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415FD"/>
    <w:rsid w:val="00442284"/>
    <w:rsid w:val="00445872"/>
    <w:rsid w:val="004519BC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40A0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2845"/>
    <w:rsid w:val="00565446"/>
    <w:rsid w:val="00566172"/>
    <w:rsid w:val="00567E27"/>
    <w:rsid w:val="0057469E"/>
    <w:rsid w:val="00576D06"/>
    <w:rsid w:val="00580405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316E"/>
    <w:rsid w:val="00606077"/>
    <w:rsid w:val="006067CD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70556"/>
    <w:rsid w:val="0067488C"/>
    <w:rsid w:val="006767DA"/>
    <w:rsid w:val="00683603"/>
    <w:rsid w:val="00683CB0"/>
    <w:rsid w:val="0068445F"/>
    <w:rsid w:val="006856B8"/>
    <w:rsid w:val="006916E1"/>
    <w:rsid w:val="00695588"/>
    <w:rsid w:val="00695877"/>
    <w:rsid w:val="006A05CD"/>
    <w:rsid w:val="006A43EB"/>
    <w:rsid w:val="006A5091"/>
    <w:rsid w:val="006B0C39"/>
    <w:rsid w:val="006B1191"/>
    <w:rsid w:val="006B414A"/>
    <w:rsid w:val="006B550E"/>
    <w:rsid w:val="006C20CC"/>
    <w:rsid w:val="006C793A"/>
    <w:rsid w:val="006C7FEE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2207A"/>
    <w:rsid w:val="00731E3B"/>
    <w:rsid w:val="00734EEB"/>
    <w:rsid w:val="0073648A"/>
    <w:rsid w:val="0074024D"/>
    <w:rsid w:val="007407D5"/>
    <w:rsid w:val="00744B96"/>
    <w:rsid w:val="00746984"/>
    <w:rsid w:val="00746B6A"/>
    <w:rsid w:val="00746EA9"/>
    <w:rsid w:val="00751CF3"/>
    <w:rsid w:val="00752D94"/>
    <w:rsid w:val="00755236"/>
    <w:rsid w:val="007765A8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B2996"/>
    <w:rsid w:val="007B7883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3744"/>
    <w:rsid w:val="007F45C6"/>
    <w:rsid w:val="007F59B3"/>
    <w:rsid w:val="00800418"/>
    <w:rsid w:val="00804187"/>
    <w:rsid w:val="0080637B"/>
    <w:rsid w:val="00807588"/>
    <w:rsid w:val="00807A7C"/>
    <w:rsid w:val="008161C4"/>
    <w:rsid w:val="00817963"/>
    <w:rsid w:val="00826ACA"/>
    <w:rsid w:val="00827993"/>
    <w:rsid w:val="00834A16"/>
    <w:rsid w:val="00841818"/>
    <w:rsid w:val="008459B2"/>
    <w:rsid w:val="008467F2"/>
    <w:rsid w:val="008507A3"/>
    <w:rsid w:val="00851839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644"/>
    <w:rsid w:val="00903CDD"/>
    <w:rsid w:val="00905026"/>
    <w:rsid w:val="009052E5"/>
    <w:rsid w:val="009053FB"/>
    <w:rsid w:val="009059A1"/>
    <w:rsid w:val="0090647C"/>
    <w:rsid w:val="0091078B"/>
    <w:rsid w:val="009129BD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524A9"/>
    <w:rsid w:val="009554D0"/>
    <w:rsid w:val="0096402D"/>
    <w:rsid w:val="009668FF"/>
    <w:rsid w:val="0097294F"/>
    <w:rsid w:val="0098016C"/>
    <w:rsid w:val="00981F4C"/>
    <w:rsid w:val="00983B96"/>
    <w:rsid w:val="009855C2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4BD4"/>
    <w:rsid w:val="009B76C8"/>
    <w:rsid w:val="009C0CFF"/>
    <w:rsid w:val="009C1624"/>
    <w:rsid w:val="009C1FDF"/>
    <w:rsid w:val="009C42FD"/>
    <w:rsid w:val="009C5500"/>
    <w:rsid w:val="009D1D8E"/>
    <w:rsid w:val="009D2EA5"/>
    <w:rsid w:val="009D7BDD"/>
    <w:rsid w:val="009E1409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457"/>
    <w:rsid w:val="00A14EC4"/>
    <w:rsid w:val="00A15EBF"/>
    <w:rsid w:val="00A17A80"/>
    <w:rsid w:val="00A20603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1A47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3F68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2B17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75EAE"/>
    <w:rsid w:val="00B867AD"/>
    <w:rsid w:val="00B86AF3"/>
    <w:rsid w:val="00B87298"/>
    <w:rsid w:val="00B9526D"/>
    <w:rsid w:val="00BA0A7B"/>
    <w:rsid w:val="00BA1C40"/>
    <w:rsid w:val="00BA1F2E"/>
    <w:rsid w:val="00BA3AD1"/>
    <w:rsid w:val="00BA3EED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E1B6F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26B2B"/>
    <w:rsid w:val="00C3000D"/>
    <w:rsid w:val="00C30287"/>
    <w:rsid w:val="00C3637E"/>
    <w:rsid w:val="00C36471"/>
    <w:rsid w:val="00C40EF3"/>
    <w:rsid w:val="00C4128E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7018"/>
    <w:rsid w:val="00D126A7"/>
    <w:rsid w:val="00D1553B"/>
    <w:rsid w:val="00D26ECB"/>
    <w:rsid w:val="00D32993"/>
    <w:rsid w:val="00D41724"/>
    <w:rsid w:val="00D42DDF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0ECC"/>
    <w:rsid w:val="00DA2F9F"/>
    <w:rsid w:val="00DA2FB7"/>
    <w:rsid w:val="00DA6877"/>
    <w:rsid w:val="00DA7D4C"/>
    <w:rsid w:val="00DB197F"/>
    <w:rsid w:val="00DB30A0"/>
    <w:rsid w:val="00DB3FC3"/>
    <w:rsid w:val="00DB6627"/>
    <w:rsid w:val="00DB7A0B"/>
    <w:rsid w:val="00DC06B0"/>
    <w:rsid w:val="00DC06C4"/>
    <w:rsid w:val="00DC12AD"/>
    <w:rsid w:val="00DD6F3E"/>
    <w:rsid w:val="00DE5F12"/>
    <w:rsid w:val="00DF00F0"/>
    <w:rsid w:val="00DF6781"/>
    <w:rsid w:val="00DF6A58"/>
    <w:rsid w:val="00E06701"/>
    <w:rsid w:val="00E10443"/>
    <w:rsid w:val="00E127AC"/>
    <w:rsid w:val="00E13525"/>
    <w:rsid w:val="00E14E88"/>
    <w:rsid w:val="00E15E79"/>
    <w:rsid w:val="00E17F07"/>
    <w:rsid w:val="00E20C42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94895"/>
    <w:rsid w:val="00EA0247"/>
    <w:rsid w:val="00EA0DAA"/>
    <w:rsid w:val="00EA6604"/>
    <w:rsid w:val="00EB2672"/>
    <w:rsid w:val="00EB4736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1CE6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3F41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3045"/>
    <w:rsid w:val="00F54618"/>
    <w:rsid w:val="00F55B06"/>
    <w:rsid w:val="00F62D7F"/>
    <w:rsid w:val="00F63A57"/>
    <w:rsid w:val="00F6471B"/>
    <w:rsid w:val="00F670CF"/>
    <w:rsid w:val="00F70A54"/>
    <w:rsid w:val="00F70AEE"/>
    <w:rsid w:val="00F70CB0"/>
    <w:rsid w:val="00F70E20"/>
    <w:rsid w:val="00F765E7"/>
    <w:rsid w:val="00F77C96"/>
    <w:rsid w:val="00F80714"/>
    <w:rsid w:val="00F82481"/>
    <w:rsid w:val="00F834BF"/>
    <w:rsid w:val="00F876EF"/>
    <w:rsid w:val="00F906F2"/>
    <w:rsid w:val="00F93995"/>
    <w:rsid w:val="00F963F9"/>
    <w:rsid w:val="00FA3A5D"/>
    <w:rsid w:val="00FA3C8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7C67"/>
    <w:rsid w:val="00FD7FB6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73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9</cp:revision>
  <dcterms:created xsi:type="dcterms:W3CDTF">2015-07-13T17:04:00Z</dcterms:created>
  <dcterms:modified xsi:type="dcterms:W3CDTF">2015-12-09T14:02:00Z</dcterms:modified>
</cp:coreProperties>
</file>